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015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Gemeinde Kirchlengern, geschlossene Kanalsanierung 2026/2027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Gemeinde Kirchlengern saniert Hauptkanäle in geschlossener Bauweise mit
Renovationsverfahren.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